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54" w:rsidRDefault="00840054" w:rsidP="00840054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142D31"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position-horizontal-relative:text;mso-position-vertical-relative:text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>
        <w:rPr>
          <w:rFonts w:ascii="宋体" w:eastAsia="宋体" w:hAnsi="宋体" w:cs="宋体" w:hint="eastAsia"/>
        </w:rPr>
        <w:t>：华为</w:t>
      </w:r>
      <w:r w:rsidR="00395645" w:rsidRPr="00395645">
        <w:rPr>
          <w:rFonts w:eastAsiaTheme="minorEastAsia"/>
        </w:rPr>
        <w:t>IPC6224-IR 12mm</w:t>
      </w:r>
      <w:r>
        <w:rPr>
          <w:rFonts w:ascii="宋体" w:eastAsia="宋体" w:hAnsi="宋体" w:cs="宋体" w:hint="eastAsia"/>
        </w:rPr>
        <w:t>产品</w:t>
      </w:r>
      <w:r w:rsidR="004901D3">
        <w:rPr>
          <w:rFonts w:eastAsiaTheme="minorEastAsia" w:hint="eastAsia"/>
        </w:rPr>
        <w:t>停止销售</w:t>
      </w:r>
      <w:r>
        <w:rPr>
          <w:rFonts w:ascii="宋体" w:eastAsia="宋体" w:hAnsi="宋体" w:cs="宋体" w:hint="eastAsia"/>
        </w:rPr>
        <w:t>公告</w:t>
      </w:r>
    </w:p>
    <w:p w:rsidR="00840054" w:rsidRDefault="00840054" w:rsidP="00840054">
      <w:pPr>
        <w:pStyle w:val="dAbstract"/>
      </w:pPr>
      <w:r>
        <w:rPr>
          <w:rFonts w:ascii="宋体" w:eastAsia="宋体" w:hAnsi="宋体" w:cs="宋体" w:hint="eastAsia"/>
        </w:rPr>
        <w:t>日期：</w:t>
      </w:r>
      <w:r>
        <w:rPr>
          <w:rFonts w:hint="eastAsia"/>
        </w:rPr>
        <w:t>20</w:t>
      </w:r>
      <w:r w:rsidR="00762058">
        <w:rPr>
          <w:rFonts w:eastAsiaTheme="minorEastAsia" w:hint="eastAsia"/>
        </w:rPr>
        <w:t>1</w:t>
      </w:r>
      <w:r w:rsidR="00657949">
        <w:rPr>
          <w:rFonts w:eastAsiaTheme="minorEastAsia" w:hint="eastAsia"/>
        </w:rPr>
        <w:t>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06</w:t>
      </w:r>
      <w:r>
        <w:rPr>
          <w:rFonts w:ascii="宋体" w:eastAsia="宋体" w:hAnsi="宋体" w:cs="宋体" w:hint="eastAsia"/>
        </w:rPr>
        <w:t>月</w:t>
      </w:r>
      <w:r w:rsidR="00762058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0</w:t>
      </w:r>
      <w:r>
        <w:rPr>
          <w:rFonts w:ascii="宋体" w:eastAsia="宋体" w:hAnsi="宋体" w:cs="宋体" w:hint="eastAsia"/>
        </w:rPr>
        <w:t>日</w:t>
      </w:r>
    </w:p>
    <w:p w:rsidR="00840054" w:rsidRDefault="00840054" w:rsidP="00840054">
      <w:pPr>
        <w:pStyle w:val="dAbstract"/>
      </w:pPr>
      <w:r>
        <w:rPr>
          <w:rFonts w:ascii="宋体" w:eastAsia="宋体" w:hAnsi="宋体" w:cs="宋体" w:hint="eastAsia"/>
        </w:rPr>
        <w:t>主题：华为</w:t>
      </w:r>
      <w:r w:rsidR="00280F93">
        <w:rPr>
          <w:rFonts w:eastAsiaTheme="minorEastAsia"/>
        </w:rPr>
        <w:t>IPC6224-IR 12mm</w:t>
      </w:r>
      <w:r>
        <w:rPr>
          <w:rFonts w:ascii="宋体" w:eastAsia="宋体" w:hAnsi="宋体" w:cs="宋体" w:hint="eastAsia"/>
        </w:rPr>
        <w:t>产品</w:t>
      </w:r>
      <w:r w:rsidR="004901D3">
        <w:rPr>
          <w:rFonts w:eastAsiaTheme="minorEastAsia" w:hint="eastAsia"/>
        </w:rPr>
        <w:t>停止销售</w:t>
      </w:r>
      <w:r>
        <w:rPr>
          <w:rFonts w:ascii="宋体" w:eastAsia="宋体" w:hAnsi="宋体" w:cs="宋体" w:hint="eastAsia"/>
        </w:rPr>
        <w:t>公告</w:t>
      </w:r>
    </w:p>
    <w:p w:rsidR="00840054" w:rsidRDefault="00840054" w:rsidP="00840054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840054" w:rsidRDefault="00840054" w:rsidP="00840054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395645">
        <w:rPr>
          <w:rFonts w:eastAsiaTheme="minorEastAsia" w:hint="eastAsia"/>
        </w:rPr>
        <w:t>IPC6224-IR 12</w:t>
      </w:r>
      <w:r w:rsidR="007A45BF">
        <w:rPr>
          <w:rFonts w:eastAsiaTheme="minorEastAsia" w:hint="eastAsia"/>
        </w:rPr>
        <w:t>mm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:rsidR="00840054" w:rsidRPr="004901D3" w:rsidRDefault="00840054" w:rsidP="004901D3">
      <w:pPr>
        <w:pStyle w:val="dText"/>
        <w:rPr>
          <w:rFonts w:eastAsiaTheme="minorEastAsia"/>
        </w:rPr>
      </w:pPr>
      <w:r>
        <w:rPr>
          <w:rFonts w:hint="eastAsia"/>
        </w:rPr>
        <w:t xml:space="preserve">   </w:t>
      </w:r>
      <w:r w:rsidR="004B3E76">
        <w:rPr>
          <w:rFonts w:eastAsiaTheme="minorEastAsia" w:hint="eastAsia"/>
        </w:rPr>
        <w:t xml:space="preserve"> </w:t>
      </w:r>
      <w:r w:rsidR="004901D3">
        <w:rPr>
          <w:rFonts w:eastAsiaTheme="minorEastAsia" w:hint="eastAsia"/>
        </w:rPr>
        <w:t>华为</w:t>
      </w:r>
      <w:r w:rsidR="00280F93">
        <w:rPr>
          <w:rFonts w:eastAsiaTheme="minorEastAsia" w:hint="eastAsia"/>
        </w:rPr>
        <w:t>IPC6224-IR 12</w:t>
      </w:r>
      <w:r w:rsidR="00280F93">
        <w:rPr>
          <w:rFonts w:eastAsiaTheme="minorEastAsia"/>
        </w:rPr>
        <w:t>mm</w:t>
      </w:r>
      <w:r>
        <w:rPr>
          <w:rFonts w:ascii="宋体" w:eastAsia="宋体" w:hAnsi="宋体" w:cs="宋体" w:hint="eastAsia"/>
        </w:rPr>
        <w:t>产品将于</w:t>
      </w:r>
      <w:r>
        <w:rPr>
          <w:rFonts w:hint="eastAsia"/>
        </w:rPr>
        <w:t>20</w:t>
      </w:r>
      <w:r w:rsidR="00762058">
        <w:rPr>
          <w:rFonts w:eastAsiaTheme="minorEastAsia" w:hint="eastAsia"/>
        </w:rPr>
        <w:t>18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12</w:t>
      </w:r>
      <w:r>
        <w:rPr>
          <w:rFonts w:ascii="宋体" w:eastAsia="宋体" w:hAnsi="宋体" w:cs="宋体" w:hint="eastAsia"/>
        </w:rPr>
        <w:t>月</w:t>
      </w:r>
      <w:r w:rsidR="00762058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1</w:t>
      </w:r>
      <w:r w:rsidR="004901D3">
        <w:rPr>
          <w:rFonts w:ascii="宋体" w:eastAsia="宋体" w:hAnsi="宋体" w:cs="宋体" w:hint="eastAsia"/>
        </w:rPr>
        <w:t>日起正式停止整机销售。在该日期之后，不再接受新建</w:t>
      </w:r>
      <w:r w:rsidR="0087661C">
        <w:rPr>
          <w:rFonts w:ascii="宋体" w:eastAsia="宋体" w:hAnsi="宋体" w:cs="宋体" w:hint="eastAsia"/>
        </w:rPr>
        <w:t>和扩容</w:t>
      </w:r>
      <w:r w:rsidR="004901D3">
        <w:rPr>
          <w:rFonts w:ascii="宋体" w:eastAsia="宋体" w:hAnsi="宋体" w:cs="宋体" w:hint="eastAsia"/>
        </w:rPr>
        <w:t>订单</w:t>
      </w:r>
      <w:r>
        <w:rPr>
          <w:rFonts w:ascii="宋体" w:eastAsia="宋体" w:hAnsi="宋体" w:cs="宋体" w:hint="eastAsia"/>
        </w:rPr>
        <w:t>。</w:t>
      </w:r>
    </w:p>
    <w:p w:rsidR="00840054" w:rsidRDefault="00840054" w:rsidP="00840054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280F93">
        <w:rPr>
          <w:rFonts w:eastAsiaTheme="minorEastAsia" w:hint="eastAsia"/>
        </w:rPr>
        <w:t>IPC6224-IR 12</w:t>
      </w:r>
      <w:r w:rsidR="00280F93">
        <w:rPr>
          <w:rFonts w:eastAsiaTheme="minorEastAsia"/>
        </w:rPr>
        <w:t>mm</w:t>
      </w:r>
      <w:r>
        <w:rPr>
          <w:rFonts w:ascii="宋体" w:eastAsia="宋体" w:hAnsi="宋体" w:cs="宋体" w:hint="eastAsia"/>
        </w:rPr>
        <w:t>产品生命周期里程碑公告</w:t>
      </w:r>
    </w:p>
    <w:tbl>
      <w:tblPr>
        <w:tblW w:w="8311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395"/>
        <w:gridCol w:w="2147"/>
      </w:tblGrid>
      <w:tr w:rsidR="00840054" w:rsidTr="00EA03F6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840054" w:rsidRDefault="00840054" w:rsidP="00544E0F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4395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840054" w:rsidRDefault="00840054" w:rsidP="00544E0F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21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840054" w:rsidRDefault="00840054" w:rsidP="00544E0F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840054" w:rsidTr="00EA03F6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840054" w:rsidRPr="0087661C" w:rsidRDefault="00840054" w:rsidP="0087661C">
            <w:pPr>
              <w:pStyle w:val="dTex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4395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840054" w:rsidRDefault="00F10DA6" w:rsidP="004901D3">
            <w:pPr>
              <w:pStyle w:val="dText"/>
            </w:pPr>
            <w:r w:rsidRPr="00F10DA6">
              <w:rPr>
                <w:rFonts w:ascii="宋体" w:eastAsia="宋体" w:hAnsi="宋体" w:cs="宋体"/>
              </w:rPr>
              <w:t>华为公司正式停止销售的日期，是产品、硬件和软件版本停止接受订单日，包括新建和整机订单。该日之后，产品将不再销售。</w:t>
            </w:r>
          </w:p>
        </w:tc>
        <w:tc>
          <w:tcPr>
            <w:tcW w:w="21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840054" w:rsidRDefault="00417F94" w:rsidP="006F5C3E">
            <w:pPr>
              <w:pStyle w:val="dText"/>
            </w:pPr>
            <w:r>
              <w:rPr>
                <w:rFonts w:hint="eastAsia"/>
              </w:rPr>
              <w:t>20</w:t>
            </w:r>
            <w:r w:rsidR="0087661C">
              <w:rPr>
                <w:rFonts w:eastAsiaTheme="minorEastAsia" w:hint="eastAsia"/>
              </w:rPr>
              <w:t>18</w:t>
            </w:r>
            <w:r w:rsidR="00840054">
              <w:rPr>
                <w:rFonts w:ascii="宋体" w:eastAsia="宋体" w:hAnsi="宋体" w:cs="宋体" w:hint="eastAsia"/>
              </w:rPr>
              <w:t>年</w:t>
            </w:r>
            <w:r w:rsidR="00657949">
              <w:rPr>
                <w:rFonts w:eastAsiaTheme="minorEastAsia" w:hint="eastAsia"/>
              </w:rPr>
              <w:t>12</w:t>
            </w:r>
            <w:r w:rsidR="00840054">
              <w:rPr>
                <w:rFonts w:ascii="宋体" w:eastAsia="宋体" w:hAnsi="宋体" w:cs="宋体" w:hint="eastAsia"/>
              </w:rPr>
              <w:t>月</w:t>
            </w:r>
            <w:r w:rsidR="0087661C">
              <w:rPr>
                <w:rFonts w:eastAsiaTheme="minorEastAsia" w:hint="eastAsia"/>
              </w:rPr>
              <w:t>3</w:t>
            </w:r>
            <w:r w:rsidR="00657949">
              <w:rPr>
                <w:rFonts w:eastAsiaTheme="minorEastAsia" w:hint="eastAsia"/>
              </w:rPr>
              <w:t>1</w:t>
            </w:r>
            <w:r w:rsidR="00840054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840054" w:rsidRDefault="00840054" w:rsidP="00840054">
      <w:pPr>
        <w:pStyle w:val="dText"/>
      </w:pPr>
      <w:r>
        <w:rPr>
          <w:rFonts w:ascii="宋体" w:eastAsia="宋体" w:hAnsi="宋体" w:cs="宋体" w:hint="eastAsia"/>
        </w:rPr>
        <w:t xml:space="preserve">　　华为公司提供了与退出产品有相似特性和能力，性能更佳的下列</w:t>
      </w:r>
      <w:r w:rsidR="004901D3">
        <w:rPr>
          <w:rFonts w:ascii="宋体" w:eastAsia="宋体" w:hAnsi="宋体" w:cs="宋体" w:hint="eastAsia"/>
        </w:rPr>
        <w:t>产品</w:t>
      </w:r>
      <w:r>
        <w:rPr>
          <w:rFonts w:ascii="宋体" w:eastAsia="宋体" w:hAnsi="宋体" w:cs="宋体" w:hint="eastAsia"/>
        </w:rPr>
        <w:t>。建议您使用</w:t>
      </w:r>
      <w:r w:rsidR="004901D3">
        <w:rPr>
          <w:rFonts w:ascii="宋体" w:eastAsia="宋体" w:hAnsi="宋体" w:cs="宋体" w:hint="eastAsia"/>
        </w:rPr>
        <w:t>新的硬件平台</w:t>
      </w:r>
      <w:r>
        <w:rPr>
          <w:rFonts w:ascii="宋体" w:eastAsia="宋体" w:hAnsi="宋体" w:cs="宋体" w:hint="eastAsia"/>
        </w:rPr>
        <w:t>，从而我们能够继续为您提供高水平的服务。随附的是我们向您建议的我公司目前</w:t>
      </w:r>
      <w:r w:rsidR="007F2A1F">
        <w:rPr>
          <w:rFonts w:ascii="宋体" w:eastAsia="宋体" w:hAnsi="宋体" w:cs="宋体" w:hint="eastAsia"/>
        </w:rPr>
        <w:t>仍在提供支持的</w:t>
      </w:r>
      <w:r w:rsidR="007F2A1F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。</w:t>
      </w:r>
    </w:p>
    <w:p w:rsidR="00840054" w:rsidRDefault="00840054" w:rsidP="00840054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4901D3">
        <w:rPr>
          <w:rFonts w:eastAsiaTheme="minorEastAsia" w:hint="eastAsia"/>
        </w:rPr>
        <w:t>产品</w:t>
      </w:r>
      <w:r>
        <w:rPr>
          <w:rFonts w:ascii="宋体" w:eastAsia="宋体" w:hAnsi="宋体" w:cs="宋体" w:hint="eastAsia"/>
        </w:rPr>
        <w:t>列表</w:t>
      </w:r>
    </w:p>
    <w:tbl>
      <w:tblPr>
        <w:tblW w:w="7754" w:type="dxa"/>
        <w:tblInd w:w="582" w:type="dxa"/>
        <w:tblBorders>
          <w:top w:val="single" w:sz="6" w:space="0" w:color="5F5F5F"/>
          <w:left w:val="single" w:sz="6" w:space="0" w:color="5F5F5F"/>
          <w:bottom w:val="single" w:sz="4" w:space="0" w:color="auto"/>
          <w:right w:val="single" w:sz="6" w:space="0" w:color="5F5F5F"/>
          <w:insideH w:val="single" w:sz="6" w:space="0" w:color="5F5F5F"/>
          <w:insideV w:val="single" w:sz="6" w:space="0" w:color="5F5F5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2606"/>
        <w:gridCol w:w="2540"/>
      </w:tblGrid>
      <w:tr w:rsidR="00FD7AB2" w:rsidTr="00395645">
        <w:tc>
          <w:tcPr>
            <w:tcW w:w="2608" w:type="dxa"/>
            <w:shd w:val="clear" w:color="auto" w:fill="A7A7A7"/>
          </w:tcPr>
          <w:p w:rsidR="00FD7AB2" w:rsidRDefault="00FD7AB2" w:rsidP="006F5C3E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退出产品</w:t>
            </w:r>
          </w:p>
        </w:tc>
        <w:tc>
          <w:tcPr>
            <w:tcW w:w="2606" w:type="dxa"/>
            <w:shd w:val="clear" w:color="auto" w:fill="A7A7A7"/>
          </w:tcPr>
          <w:p w:rsidR="00FD7AB2" w:rsidRDefault="00FD7AB2" w:rsidP="006F5C3E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替代产品</w:t>
            </w:r>
          </w:p>
        </w:tc>
        <w:tc>
          <w:tcPr>
            <w:tcW w:w="2540" w:type="dxa"/>
            <w:shd w:val="clear" w:color="auto" w:fill="A7A7A7"/>
          </w:tcPr>
          <w:p w:rsidR="00FD7AB2" w:rsidRDefault="00FD7AB2" w:rsidP="006F5C3E">
            <w:pPr>
              <w:pStyle w:val="dTex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替代说明</w:t>
            </w:r>
          </w:p>
        </w:tc>
      </w:tr>
      <w:tr w:rsidR="00FD7AB2" w:rsidTr="00395645">
        <w:trPr>
          <w:trHeight w:val="718"/>
        </w:trPr>
        <w:tc>
          <w:tcPr>
            <w:tcW w:w="2608" w:type="dxa"/>
          </w:tcPr>
          <w:p w:rsidR="00FD7AB2" w:rsidRPr="004901D3" w:rsidRDefault="00280F93" w:rsidP="006175B1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IPC6224-IR 12</w:t>
            </w:r>
            <w:r>
              <w:rPr>
                <w:rFonts w:eastAsiaTheme="minorEastAsia"/>
              </w:rPr>
              <w:t>mm</w:t>
            </w:r>
            <w:r w:rsidR="00657949">
              <w:rPr>
                <w:rFonts w:eastAsiaTheme="minorEastAsia"/>
              </w:rPr>
              <w:t xml:space="preserve"> </w:t>
            </w:r>
          </w:p>
        </w:tc>
        <w:tc>
          <w:tcPr>
            <w:tcW w:w="2606" w:type="dxa"/>
          </w:tcPr>
          <w:p w:rsidR="00FD7AB2" w:rsidRPr="004901D3" w:rsidRDefault="00395645" w:rsidP="006175B1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IPC6224</w:t>
            </w:r>
            <w:r w:rsidR="006175B1">
              <w:rPr>
                <w:rFonts w:eastAsiaTheme="minorEastAsia" w:hint="eastAsia"/>
              </w:rPr>
              <w:t>-V</w:t>
            </w:r>
            <w:r w:rsidR="006175B1">
              <w:rPr>
                <w:rFonts w:eastAsiaTheme="minorEastAsia"/>
              </w:rPr>
              <w:t>R</w:t>
            </w:r>
            <w:r w:rsidR="00B31EEB">
              <w:rPr>
                <w:rFonts w:eastAsiaTheme="minorEastAsia" w:hint="eastAsia"/>
              </w:rPr>
              <w:t>Z</w:t>
            </w:r>
            <w:r w:rsidR="00657949">
              <w:rPr>
                <w:rFonts w:eastAsiaTheme="minorEastAsia"/>
              </w:rPr>
              <w:t xml:space="preserve"> </w:t>
            </w:r>
          </w:p>
        </w:tc>
        <w:tc>
          <w:tcPr>
            <w:tcW w:w="2540" w:type="dxa"/>
          </w:tcPr>
          <w:p w:rsidR="00FD7AB2" w:rsidRDefault="00395645" w:rsidP="006F5C3E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IPC6224-V</w:t>
            </w: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Z</w:t>
            </w:r>
            <w:r>
              <w:rPr>
                <w:rFonts w:eastAsiaTheme="minorEastAsia" w:hint="eastAsia"/>
              </w:rPr>
              <w:t>可以满足</w:t>
            </w:r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/>
              </w:rPr>
              <w:t>mm</w:t>
            </w:r>
            <w:r>
              <w:rPr>
                <w:rFonts w:eastAsiaTheme="minorEastAsia" w:hint="eastAsia"/>
              </w:rPr>
              <w:t>焦距</w:t>
            </w:r>
            <w:r>
              <w:rPr>
                <w:rFonts w:eastAsiaTheme="minorEastAsia"/>
              </w:rPr>
              <w:t>应用</w:t>
            </w:r>
          </w:p>
        </w:tc>
      </w:tr>
    </w:tbl>
    <w:p w:rsidR="00840054" w:rsidRDefault="00840054" w:rsidP="004901D3">
      <w:pPr>
        <w:pStyle w:val="dText"/>
        <w:ind w:firstLine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华为公司希望此通知有助于您提前规划未来的网络，本措施不会</w:t>
      </w:r>
      <w:r w:rsidR="00EF0FEA">
        <w:rPr>
          <w:rFonts w:ascii="宋体" w:eastAsia="宋体" w:hAnsi="宋体" w:cs="宋体" w:hint="eastAsia"/>
        </w:rPr>
        <w:t>影响业已存在的服务关系与服务质量，同时建议您使用或升级到新的产品</w:t>
      </w:r>
      <w:r>
        <w:rPr>
          <w:rFonts w:ascii="宋体" w:eastAsia="宋体" w:hAnsi="宋体" w:cs="宋体" w:hint="eastAsia"/>
        </w:rPr>
        <w:t>，从而继续为您提供其他优质产品与服务。</w:t>
      </w:r>
    </w:p>
    <w:p w:rsidR="004901D3" w:rsidRPr="004901D3" w:rsidRDefault="004901D3" w:rsidP="004B3E76">
      <w:pPr>
        <w:ind w:firstLineChars="200" w:firstLine="440"/>
        <w:rPr>
          <w:rFonts w:ascii="Tahoma" w:eastAsiaTheme="minorEastAsia" w:hAnsi="Tahoma" w:cs="Tahoma"/>
          <w:snapToGrid/>
          <w:sz w:val="22"/>
          <w:szCs w:val="22"/>
        </w:rPr>
      </w:pPr>
      <w:r w:rsidRPr="004901D3">
        <w:rPr>
          <w:rFonts w:ascii="宋体" w:hAnsi="宋体" w:cs="宋体" w:hint="eastAsia"/>
          <w:snapToGrid/>
          <w:sz w:val="22"/>
          <w:szCs w:val="22"/>
        </w:rPr>
        <w:t>有任何问题请及时告知为您服务的销售代表。如需了解更多华为生命周期策略，请访问</w:t>
      </w:r>
      <w:r w:rsidRPr="004901D3">
        <w:rPr>
          <w:rFonts w:ascii="Tahoma" w:eastAsia="Arial" w:hAnsi="Tahoma" w:cs="Tahoma" w:hint="eastAsia"/>
          <w:snapToGrid/>
          <w:sz w:val="22"/>
          <w:szCs w:val="22"/>
        </w:rPr>
        <w:t>http://www.huawei.com/cn/ProductsLifecycle/index.htm</w:t>
      </w:r>
      <w:r w:rsidR="00142D31">
        <w:rPr>
          <w:rFonts w:ascii="Tahoma" w:eastAsia="Arial" w:hAnsi="Tahoma" w:cs="Tahoma"/>
          <w:snapToGrid/>
          <w:sz w:val="22"/>
          <w:szCs w:val="22"/>
        </w:rPr>
        <w:t>l</w:t>
      </w:r>
      <w:bookmarkStart w:id="0" w:name="_GoBack"/>
      <w:bookmarkEnd w:id="0"/>
    </w:p>
    <w:p w:rsidR="00842E03" w:rsidRPr="004901D3" w:rsidRDefault="00840054" w:rsidP="004901D3">
      <w:pPr>
        <w:pStyle w:val="dSigner"/>
      </w:pPr>
      <w:r>
        <w:rPr>
          <w:rFonts w:ascii="宋体" w:eastAsia="宋体" w:hAnsi="宋体" w:cs="宋体" w:hint="eastAsia"/>
        </w:rPr>
        <w:t>华为技术有限公司</w:t>
      </w:r>
      <w:r>
        <w:br/>
      </w:r>
      <w:r>
        <w:rPr>
          <w:rFonts w:hint="eastAsia"/>
        </w:rPr>
        <w:t>20</w:t>
      </w:r>
      <w:r w:rsidR="0087661C">
        <w:rPr>
          <w:rFonts w:eastAsiaTheme="minorEastAsia" w:hint="eastAsia"/>
        </w:rPr>
        <w:t>1</w:t>
      </w:r>
      <w:r w:rsidR="00657949">
        <w:rPr>
          <w:rFonts w:eastAsiaTheme="minorEastAsia" w:hint="eastAsia"/>
        </w:rPr>
        <w:t>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06</w:t>
      </w:r>
      <w:r>
        <w:rPr>
          <w:rFonts w:ascii="宋体" w:eastAsia="宋体" w:hAnsi="宋体" w:cs="宋体" w:hint="eastAsia"/>
        </w:rPr>
        <w:t>月</w:t>
      </w:r>
      <w:r w:rsidR="0087661C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0</w:t>
      </w:r>
      <w:r>
        <w:rPr>
          <w:rFonts w:ascii="宋体" w:eastAsia="宋体" w:hAnsi="宋体" w:cs="宋体" w:hint="eastAsia"/>
        </w:rPr>
        <w:t>日</w:t>
      </w:r>
    </w:p>
    <w:sectPr w:rsidR="00842E03" w:rsidRPr="004901D3" w:rsidSect="00842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C4" w:rsidRDefault="002019C4">
      <w:r>
        <w:separator/>
      </w:r>
    </w:p>
  </w:endnote>
  <w:endnote w:type="continuationSeparator" w:id="0">
    <w:p w:rsidR="002019C4" w:rsidRDefault="002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0"/>
      <w:gridCol w:w="2921"/>
      <w:gridCol w:w="2601"/>
    </w:tblGrid>
    <w:tr w:rsidR="00842E03">
      <w:tc>
        <w:tcPr>
          <w:tcW w:w="1760" w:type="pct"/>
        </w:tcPr>
        <w:p w:rsidR="00842E03" w:rsidRDefault="00D06823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142D31">
            <w:rPr>
              <w:noProof/>
            </w:rPr>
            <w:t>2018-6-26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842E03" w:rsidRDefault="0054544F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842E03" w:rsidRDefault="0054544F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D06823">
            <w:fldChar w:fldCharType="begin"/>
          </w:r>
          <w:r w:rsidR="00D06823">
            <w:instrText>PAGE</w:instrText>
          </w:r>
          <w:r w:rsidR="00D06823">
            <w:fldChar w:fldCharType="separate"/>
          </w:r>
          <w:r w:rsidR="00142D31">
            <w:rPr>
              <w:noProof/>
            </w:rPr>
            <w:t>1</w:t>
          </w:r>
          <w:r w:rsidR="00D06823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142D31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842E03" w:rsidRDefault="00842E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C4" w:rsidRDefault="002019C4">
      <w:r>
        <w:separator/>
      </w:r>
    </w:p>
  </w:footnote>
  <w:footnote w:type="continuationSeparator" w:id="0">
    <w:p w:rsidR="002019C4" w:rsidRDefault="0020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42"/>
      <w:gridCol w:w="5894"/>
      <w:gridCol w:w="1684"/>
    </w:tblGrid>
    <w:tr w:rsidR="00842E03">
      <w:trPr>
        <w:cantSplit/>
        <w:trHeight w:hRule="exact" w:val="782"/>
      </w:trPr>
      <w:tc>
        <w:tcPr>
          <w:tcW w:w="500" w:type="pct"/>
        </w:tcPr>
        <w:p w:rsidR="00842E03" w:rsidRDefault="0054544F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2E03" w:rsidRDefault="00842E03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842E03" w:rsidRDefault="0054544F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842E03" w:rsidRDefault="0054544F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842E03" w:rsidRDefault="00842E03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E03"/>
    <w:rsid w:val="00036560"/>
    <w:rsid w:val="00057C2F"/>
    <w:rsid w:val="00073F08"/>
    <w:rsid w:val="00082F72"/>
    <w:rsid w:val="00086D3A"/>
    <w:rsid w:val="000F0D22"/>
    <w:rsid w:val="00142D31"/>
    <w:rsid w:val="0016374E"/>
    <w:rsid w:val="002019C4"/>
    <w:rsid w:val="00230D6D"/>
    <w:rsid w:val="00280F93"/>
    <w:rsid w:val="00282EEB"/>
    <w:rsid w:val="00300AAE"/>
    <w:rsid w:val="003169FF"/>
    <w:rsid w:val="00323D95"/>
    <w:rsid w:val="00395645"/>
    <w:rsid w:val="00417F94"/>
    <w:rsid w:val="004901D3"/>
    <w:rsid w:val="004B2F96"/>
    <w:rsid w:val="004B3E76"/>
    <w:rsid w:val="00544E0F"/>
    <w:rsid w:val="0054544F"/>
    <w:rsid w:val="005B015C"/>
    <w:rsid w:val="006175B1"/>
    <w:rsid w:val="006252DB"/>
    <w:rsid w:val="00657949"/>
    <w:rsid w:val="00762058"/>
    <w:rsid w:val="0077268A"/>
    <w:rsid w:val="007A45BF"/>
    <w:rsid w:val="007B0B2E"/>
    <w:rsid w:val="007E4FFC"/>
    <w:rsid w:val="007F2A1F"/>
    <w:rsid w:val="00840054"/>
    <w:rsid w:val="00842E03"/>
    <w:rsid w:val="00846552"/>
    <w:rsid w:val="0087661C"/>
    <w:rsid w:val="008A6B7C"/>
    <w:rsid w:val="00927171"/>
    <w:rsid w:val="00946D8A"/>
    <w:rsid w:val="009B038D"/>
    <w:rsid w:val="009E77EF"/>
    <w:rsid w:val="00A349BD"/>
    <w:rsid w:val="00AD1569"/>
    <w:rsid w:val="00B31EEB"/>
    <w:rsid w:val="00B50AA6"/>
    <w:rsid w:val="00B74612"/>
    <w:rsid w:val="00C001E9"/>
    <w:rsid w:val="00C53DC8"/>
    <w:rsid w:val="00C72B92"/>
    <w:rsid w:val="00D06823"/>
    <w:rsid w:val="00D23D10"/>
    <w:rsid w:val="00D927BB"/>
    <w:rsid w:val="00EA03F6"/>
    <w:rsid w:val="00EF0FEA"/>
    <w:rsid w:val="00F10DA6"/>
    <w:rsid w:val="00F75755"/>
    <w:rsid w:val="00FD7AB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16A4D7-C576-4C12-9B6C-59B7B04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2E03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42E03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42E03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42E03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42E03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42E03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42E03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42E0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42E03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42E03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42E03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42E03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42E03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42E03"/>
  </w:style>
  <w:style w:type="paragraph" w:customStyle="1" w:styleId="ad">
    <w:name w:val="注示头"/>
    <w:basedOn w:val="a1"/>
    <w:rsid w:val="00842E03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42E03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42E03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42E0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42E03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42E03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842E0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842E03"/>
    <w:rPr>
      <w:snapToGrid w:val="0"/>
      <w:sz w:val="18"/>
      <w:szCs w:val="18"/>
    </w:rPr>
  </w:style>
  <w:style w:type="paragraph" w:customStyle="1" w:styleId="dTitle">
    <w:name w:val="dTitle"/>
    <w:rsid w:val="00840054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Abstract">
    <w:name w:val="dAbstract"/>
    <w:rsid w:val="00840054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840054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840054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Title2">
    <w:name w:val="dTitle2"/>
    <w:rsid w:val="00840054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840054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A9B8-EE7C-4290-AE78-BF14D274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615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Leiming (Andrew, CS LMT)</dc:creator>
  <cp:lastModifiedBy>shenghua</cp:lastModifiedBy>
  <cp:revision>20</cp:revision>
  <dcterms:created xsi:type="dcterms:W3CDTF">2017-12-13T06:28:00Z</dcterms:created>
  <dcterms:modified xsi:type="dcterms:W3CDTF">2018-06-26T06:13:00Z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(3)A/R9DG1kctvbwBePlBuKiv+eBGGpayFLdIUoSlNi6mvvQPPpsB2tAhiezCl78qJr3je6EMkg
XtKjSDMh7M98fd4jeOghY5oZSdauNBiBOlS5jxXNH12+XRuBQIHFVMwJ4BW2tJ9/mEZ5mvp1
875KT93lw+eyBdWF6OnwFr0HxFNuqMQWGGpIuqbvkISrbZm0L3fjUwW4ZCSP/sJokQK6ZKCO
Uq5CSGvKkFS6095lRJ</vt:lpwstr>
  </property>
  <property fmtid="{D5CDD505-2E9C-101B-9397-08002B2CF9AE}" pid="7" name="_2015_ms_pID_7253431">
    <vt:lpwstr>7/5vgdCb6qlbkJ1EGAoasYknkYw8Rnh5Htzk0HuTiCCOiuKgP+JguY
9ShWpk9IAcYZxj22zJ6HaQiqTdEK+OOQVcDpTwI9/BtTmviIR+u5/mULEnR0PeXvEcWUppiK
xZkEByubbwqM71cIhBvnjcTnDj0vMdi7fwSRgg4Ev7H8jIku+42FfeU64mxaPUjcZvBgHjSj
77L4Xq2t45fRxeyN2qsibmUpXsUrjhHMcNye</vt:lpwstr>
  </property>
  <property fmtid="{D5CDD505-2E9C-101B-9397-08002B2CF9AE}" pid="8" name="_2015_ms_pID_7253432">
    <vt:lpwstr>pKUmrYVPaTzbt0Ogt5q1gtk=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1529991305</vt:lpwstr>
  </property>
</Properties>
</file>