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89" w:rsidRPr="005D6C89" w:rsidRDefault="00064BE4" w:rsidP="005D6C89">
      <w:pPr>
        <w:widowControl/>
        <w:autoSpaceDE/>
        <w:autoSpaceDN/>
        <w:adjustRightInd/>
        <w:spacing w:before="312" w:after="312" w:line="240" w:lineRule="auto"/>
        <w:jc w:val="center"/>
        <w:rPr>
          <w:rFonts w:ascii="Arial" w:hAnsi="Arial" w:cs="Arial"/>
          <w:snapToGrid/>
        </w:rPr>
      </w:pPr>
      <w:r>
        <w:rPr>
          <w:rFonts w:ascii="黑体" w:eastAsia="黑体" w:hAnsi="黑体" w:cs="Arial" w:hint="eastAsia"/>
          <w:b/>
          <w:bCs/>
          <w:snapToGrid/>
          <w:color w:val="000000"/>
          <w:sz w:val="36"/>
          <w:szCs w:val="36"/>
        </w:rPr>
        <w:t>华为</w:t>
      </w:r>
      <w:r w:rsidR="005D6C89" w:rsidRPr="005D6C89">
        <w:rPr>
          <w:rFonts w:ascii="黑体" w:eastAsia="黑体" w:hAnsi="黑体" w:cs="Arial" w:hint="eastAsia"/>
          <w:b/>
          <w:bCs/>
          <w:snapToGrid/>
          <w:color w:val="000000"/>
          <w:sz w:val="36"/>
          <w:szCs w:val="36"/>
        </w:rPr>
        <w:t>V1300N一体化视频监控平台产品</w:t>
      </w:r>
    </w:p>
    <w:p w:rsidR="005D6C89" w:rsidRPr="005D6C89" w:rsidRDefault="005D6C89" w:rsidP="005D6C89">
      <w:pPr>
        <w:widowControl/>
        <w:autoSpaceDE/>
        <w:autoSpaceDN/>
        <w:adjustRightInd/>
        <w:spacing w:before="312" w:after="312" w:line="240" w:lineRule="auto"/>
        <w:jc w:val="center"/>
        <w:rPr>
          <w:rFonts w:ascii="Arial" w:hAnsi="Arial" w:cs="Arial"/>
          <w:snapToGrid/>
        </w:rPr>
      </w:pPr>
      <w:r w:rsidRPr="005D6C89">
        <w:rPr>
          <w:rFonts w:ascii="黑体" w:eastAsia="黑体" w:hAnsi="黑体" w:cs="Arial" w:hint="eastAsia"/>
          <w:b/>
          <w:bCs/>
          <w:snapToGrid/>
          <w:color w:val="000000"/>
          <w:sz w:val="36"/>
          <w:szCs w:val="36"/>
        </w:rPr>
        <w:t>生命周期里程碑公告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尊敬的客户：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为了更好地协助您应对市场变化和技术发展创新的挑战，华为特将V1300N 一体化视频监控平台产品关键生命周期里程碑时间向您知会，希望此信息能在您制定未来网络发展计划时提供参考。</w:t>
      </w:r>
    </w:p>
    <w:p w:rsidR="008173C8" w:rsidRDefault="008173C8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4F4B52">
        <w:rPr>
          <w:rFonts w:ascii="宋体" w:hAnsi="宋体" w:cs="宋体"/>
          <w:snapToGrid/>
          <w:sz w:val="24"/>
          <w:szCs w:val="24"/>
        </w:rPr>
        <w:t>从201</w:t>
      </w:r>
      <w:r w:rsidRPr="004F4B52">
        <w:rPr>
          <w:rFonts w:ascii="宋体" w:hAnsi="宋体" w:cs="宋体" w:hint="eastAsia"/>
          <w:snapToGrid/>
          <w:sz w:val="24"/>
          <w:szCs w:val="24"/>
        </w:rPr>
        <w:t>4</w:t>
      </w:r>
      <w:r w:rsidRPr="004F4B52">
        <w:rPr>
          <w:rFonts w:ascii="宋体" w:hAnsi="宋体" w:cs="宋体"/>
          <w:snapToGrid/>
          <w:sz w:val="24"/>
          <w:szCs w:val="24"/>
        </w:rPr>
        <w:t>年</w:t>
      </w:r>
      <w:r w:rsidRPr="004F4B52">
        <w:rPr>
          <w:rFonts w:ascii="宋体" w:hAnsi="宋体" w:cs="宋体" w:hint="eastAsia"/>
          <w:snapToGrid/>
          <w:sz w:val="24"/>
          <w:szCs w:val="24"/>
        </w:rPr>
        <w:t>3</w:t>
      </w:r>
      <w:r w:rsidRPr="004F4B52">
        <w:rPr>
          <w:rFonts w:ascii="宋体" w:hAnsi="宋体" w:cs="宋体"/>
          <w:snapToGrid/>
          <w:sz w:val="24"/>
          <w:szCs w:val="24"/>
        </w:rPr>
        <w:t>月</w:t>
      </w:r>
      <w:r w:rsidRPr="004F4B52">
        <w:rPr>
          <w:rFonts w:ascii="宋体" w:hAnsi="宋体" w:cs="宋体" w:hint="eastAsia"/>
          <w:snapToGrid/>
          <w:sz w:val="24"/>
          <w:szCs w:val="24"/>
        </w:rPr>
        <w:t>31</w:t>
      </w:r>
      <w:r w:rsidRPr="004F4B52">
        <w:rPr>
          <w:rFonts w:ascii="宋体" w:hAnsi="宋体" w:cs="宋体"/>
          <w:snapToGrid/>
          <w:sz w:val="24"/>
          <w:szCs w:val="24"/>
        </w:rPr>
        <w:t>日起</w:t>
      </w:r>
      <w:r w:rsidRPr="004F4B52">
        <w:rPr>
          <w:rFonts w:ascii="宋体" w:hAnsi="宋体" w:cs="宋体" w:hint="eastAsia"/>
          <w:snapToGrid/>
          <w:sz w:val="24"/>
          <w:szCs w:val="24"/>
        </w:rPr>
        <w:t>，</w:t>
      </w:r>
      <w:r w:rsidR="005D6C89" w:rsidRPr="005D6C89">
        <w:rPr>
          <w:rFonts w:ascii="宋体" w:hAnsi="宋体" w:cs="宋体"/>
          <w:snapToGrid/>
          <w:sz w:val="24"/>
          <w:szCs w:val="24"/>
        </w:rPr>
        <w:t>V1300N正式停止销售。在该日期之后，不再接受新局点订单及扩容性订单。</w:t>
      </w:r>
    </w:p>
    <w:p w:rsidR="008173C8" w:rsidRPr="004F4B52" w:rsidRDefault="008173C8" w:rsidP="008173C8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4F4B52">
        <w:rPr>
          <w:rFonts w:ascii="宋体" w:hAnsi="宋体" w:cs="宋体"/>
          <w:snapToGrid/>
          <w:sz w:val="24"/>
          <w:szCs w:val="24"/>
        </w:rPr>
        <w:t>从201</w:t>
      </w:r>
      <w:r w:rsidRPr="004F4B52">
        <w:rPr>
          <w:rFonts w:ascii="宋体" w:hAnsi="宋体" w:cs="宋体" w:hint="eastAsia"/>
          <w:snapToGrid/>
          <w:sz w:val="24"/>
          <w:szCs w:val="24"/>
        </w:rPr>
        <w:t>7</w:t>
      </w:r>
      <w:r w:rsidRPr="004F4B52">
        <w:rPr>
          <w:rFonts w:ascii="宋体" w:hAnsi="宋体" w:cs="宋体"/>
          <w:snapToGrid/>
          <w:sz w:val="24"/>
          <w:szCs w:val="24"/>
        </w:rPr>
        <w:t>年</w:t>
      </w:r>
      <w:r w:rsidRPr="004F4B52">
        <w:rPr>
          <w:rFonts w:ascii="宋体" w:hAnsi="宋体" w:cs="宋体" w:hint="eastAsia"/>
          <w:snapToGrid/>
          <w:sz w:val="24"/>
          <w:szCs w:val="24"/>
        </w:rPr>
        <w:t>4</w:t>
      </w:r>
      <w:r w:rsidRPr="004F4B52">
        <w:rPr>
          <w:rFonts w:ascii="宋体" w:hAnsi="宋体" w:cs="宋体"/>
          <w:snapToGrid/>
          <w:sz w:val="24"/>
          <w:szCs w:val="24"/>
        </w:rPr>
        <w:t>月</w:t>
      </w:r>
      <w:r w:rsidRPr="004F4B52">
        <w:rPr>
          <w:rFonts w:ascii="宋体" w:hAnsi="宋体" w:cs="宋体" w:hint="eastAsia"/>
          <w:snapToGrid/>
          <w:sz w:val="24"/>
          <w:szCs w:val="24"/>
        </w:rPr>
        <w:t>30</w:t>
      </w:r>
      <w:r w:rsidRPr="004F4B52">
        <w:rPr>
          <w:rFonts w:ascii="宋体" w:hAnsi="宋体" w:cs="宋体"/>
          <w:snapToGrid/>
          <w:sz w:val="24"/>
          <w:szCs w:val="24"/>
        </w:rPr>
        <w:t>日起，</w:t>
      </w:r>
      <w:r w:rsidRPr="005D6C89">
        <w:rPr>
          <w:rFonts w:ascii="宋体" w:hAnsi="宋体" w:cs="宋体"/>
          <w:snapToGrid/>
          <w:sz w:val="24"/>
          <w:szCs w:val="24"/>
        </w:rPr>
        <w:t>V1300N</w:t>
      </w:r>
      <w:r w:rsidRPr="004F4B52">
        <w:rPr>
          <w:rFonts w:ascii="宋体" w:hAnsi="宋体" w:cs="宋体" w:hint="eastAsia"/>
          <w:snapToGrid/>
          <w:sz w:val="24"/>
          <w:szCs w:val="24"/>
        </w:rPr>
        <w:t>正式停止服务。在该日期之后，不再提供有关该产品的任何服务（包括服务热线电话）。同时，从停止服务之日起持续一年的时间里，您可以访问华为技术支持网站查询，查询或下载该产品相关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4F4B52">
        <w:rPr>
          <w:rFonts w:ascii="宋体" w:hAnsi="宋体" w:cs="宋体"/>
          <w:snapToGrid/>
          <w:sz w:val="24"/>
          <w:szCs w:val="24"/>
        </w:rPr>
        <w:t>FAQ</w:t>
      </w:r>
      <w:r w:rsidRPr="004F4B52">
        <w:rPr>
          <w:rFonts w:ascii="宋体" w:hAnsi="宋体" w:cs="宋体" w:hint="eastAsia"/>
          <w:snapToGrid/>
          <w:sz w:val="24"/>
          <w:szCs w:val="24"/>
        </w:rPr>
        <w:t>和已知问题解决案例。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表1描述了V1300N 生命周期里程碑、定义及终止日期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表1：V1300N生命周期里程碑如下表：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2"/>
        <w:gridCol w:w="5517"/>
        <w:gridCol w:w="1563"/>
      </w:tblGrid>
      <w:tr w:rsidR="005D6C89" w:rsidRPr="005D6C89" w:rsidTr="008173C8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关键里程碑点</w:t>
            </w:r>
          </w:p>
        </w:tc>
        <w:tc>
          <w:tcPr>
            <w:tcW w:w="3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定义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日期</w:t>
            </w:r>
          </w:p>
        </w:tc>
      </w:tr>
      <w:tr w:rsidR="005D6C89" w:rsidRPr="005D6C89" w:rsidTr="008173C8"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停止销售日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2014/03/31</w:t>
            </w:r>
          </w:p>
        </w:tc>
      </w:tr>
      <w:tr w:rsidR="005D6C89" w:rsidRPr="005D6C89" w:rsidTr="008173C8">
        <w:trPr>
          <w:trHeight w:val="451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停止服务日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华为公司提供产品服务的最后日期。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2017/04/30</w:t>
            </w:r>
          </w:p>
        </w:tc>
      </w:tr>
    </w:tbl>
    <w:p w:rsidR="005D6C89" w:rsidRPr="005D6C89" w:rsidRDefault="005D6C89" w:rsidP="008173C8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5D6C89" w:rsidRPr="005D6C89" w:rsidRDefault="00064BE4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>
        <w:rPr>
          <w:rFonts w:ascii="宋体" w:hAnsi="宋体" w:cs="宋体"/>
          <w:snapToGrid/>
          <w:sz w:val="24"/>
          <w:szCs w:val="24"/>
        </w:rPr>
        <w:lastRenderedPageBreak/>
        <w:t>华为公司提供了与</w:t>
      </w:r>
      <w:r>
        <w:rPr>
          <w:rFonts w:ascii="宋体" w:hAnsi="宋体" w:cs="宋体" w:hint="eastAsia"/>
          <w:snapToGrid/>
          <w:sz w:val="24"/>
          <w:szCs w:val="24"/>
        </w:rPr>
        <w:t>推出</w:t>
      </w:r>
      <w:r w:rsidR="005D6C89" w:rsidRPr="005D6C89">
        <w:rPr>
          <w:rFonts w:ascii="宋体" w:hAnsi="宋体" w:cs="宋体"/>
          <w:snapToGrid/>
          <w:sz w:val="24"/>
          <w:szCs w:val="24"/>
        </w:rPr>
        <w:t>产品特性和能力更好的VCN3000一体化监控平台产品。建议您在后续项目使用新一代产品，从而我们能够继续为您提供高水平的服务。随附的是这些停止销售产品的停产策略及替代型号：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表2：产品替代关系表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0"/>
        <w:gridCol w:w="5682"/>
      </w:tblGrid>
      <w:tr w:rsidR="005D6C89" w:rsidRPr="005D6C89" w:rsidTr="005D6C89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480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退出产品</w:t>
            </w:r>
          </w:p>
        </w:tc>
        <w:tc>
          <w:tcPr>
            <w:tcW w:w="3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480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替代产品</w:t>
            </w:r>
          </w:p>
        </w:tc>
      </w:tr>
      <w:tr w:rsidR="005D6C89" w:rsidRPr="005D6C89" w:rsidTr="005D6C8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480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V1300N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C89" w:rsidRPr="005D6C89" w:rsidRDefault="005D6C89" w:rsidP="005D6C8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480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5D6C89">
              <w:rPr>
                <w:rFonts w:ascii="宋体" w:hAnsi="宋体" w:cs="宋体"/>
                <w:snapToGrid/>
                <w:sz w:val="24"/>
                <w:szCs w:val="24"/>
              </w:rPr>
              <w:t>VCN3000</w:t>
            </w:r>
          </w:p>
        </w:tc>
      </w:tr>
    </w:tbl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5D6C89">
        <w:rPr>
          <w:rFonts w:ascii="宋体" w:hAnsi="宋体" w:cs="宋体"/>
          <w:snapToGrid/>
          <w:sz w:val="24"/>
          <w:szCs w:val="24"/>
        </w:rPr>
        <w:t>有任何问题请及时告知为您服务的销售代表。如需了解更多华为生命周期策略，请访问</w:t>
      </w:r>
      <w:bookmarkStart w:id="0" w:name="OLE_LINK4"/>
      <w:bookmarkEnd w:id="0"/>
      <w:r w:rsidR="00B3050E" w:rsidRPr="005D6C89">
        <w:rPr>
          <w:rFonts w:ascii="宋体" w:hAnsi="宋体" w:cs="宋体"/>
          <w:snapToGrid/>
          <w:sz w:val="24"/>
          <w:szCs w:val="24"/>
        </w:rPr>
        <w:fldChar w:fldCharType="begin"/>
      </w:r>
      <w:r w:rsidRPr="005D6C89">
        <w:rPr>
          <w:rFonts w:ascii="宋体" w:hAnsi="宋体" w:cs="宋体"/>
          <w:snapToGrid/>
          <w:sz w:val="24"/>
          <w:szCs w:val="24"/>
        </w:rPr>
        <w:instrText xml:space="preserve"> HYPERLINK "http://support.huawei.com/enterprise/news" \t "_blank" </w:instrText>
      </w:r>
      <w:r w:rsidR="00B3050E" w:rsidRPr="005D6C89">
        <w:rPr>
          <w:rFonts w:ascii="宋体" w:hAnsi="宋体" w:cs="宋体"/>
          <w:snapToGrid/>
          <w:sz w:val="24"/>
          <w:szCs w:val="24"/>
        </w:rPr>
        <w:fldChar w:fldCharType="separate"/>
      </w:r>
      <w:r w:rsidRPr="005D6C89">
        <w:rPr>
          <w:rFonts w:ascii="宋体" w:hAnsi="宋体" w:cs="宋体"/>
          <w:snapToGrid/>
          <w:sz w:val="24"/>
          <w:szCs w:val="24"/>
        </w:rPr>
        <w:t>http://support.huawei.com/enterprise/news</w:t>
      </w:r>
      <w:r w:rsidR="00B3050E" w:rsidRPr="005D6C89">
        <w:rPr>
          <w:rFonts w:ascii="宋体" w:hAnsi="宋体" w:cs="宋体"/>
          <w:snapToGrid/>
          <w:sz w:val="24"/>
          <w:szCs w:val="24"/>
        </w:rPr>
        <w:fldChar w:fldCharType="end"/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right="-154" w:firstLine="5280"/>
        <w:jc w:val="right"/>
        <w:rPr>
          <w:rFonts w:ascii="Arial" w:hAnsi="Arial" w:cs="Arial"/>
          <w:snapToGrid/>
        </w:rPr>
      </w:pP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right="-154" w:firstLine="5280"/>
        <w:jc w:val="right"/>
        <w:rPr>
          <w:rFonts w:ascii="Arial" w:hAnsi="Arial" w:cs="Arial"/>
          <w:snapToGrid/>
        </w:rPr>
      </w:pPr>
    </w:p>
    <w:p w:rsidR="005D6C89" w:rsidRPr="005D6C89" w:rsidRDefault="005D6C89" w:rsidP="00064BE4">
      <w:pPr>
        <w:widowControl/>
        <w:autoSpaceDE/>
        <w:autoSpaceDN/>
        <w:adjustRightInd/>
        <w:spacing w:before="100" w:beforeAutospacing="1" w:after="100" w:afterAutospacing="1"/>
        <w:ind w:right="-49" w:firstLine="5280"/>
        <w:jc w:val="right"/>
        <w:rPr>
          <w:rFonts w:ascii="Arial" w:hAnsi="Arial" w:cs="Arial"/>
          <w:snapToGrid/>
        </w:rPr>
      </w:pPr>
      <w:bookmarkStart w:id="1" w:name="_GoBack"/>
      <w:bookmarkEnd w:id="1"/>
    </w:p>
    <w:p w:rsidR="005D6C89" w:rsidRPr="005D6C89" w:rsidRDefault="005D6C89" w:rsidP="00064BE4">
      <w:pPr>
        <w:widowControl/>
        <w:autoSpaceDE/>
        <w:autoSpaceDN/>
        <w:adjustRightInd/>
        <w:spacing w:before="100" w:beforeAutospacing="1" w:after="100" w:afterAutospacing="1"/>
        <w:ind w:right="-49" w:firstLine="5280"/>
        <w:jc w:val="right"/>
        <w:rPr>
          <w:rFonts w:ascii="Arial" w:hAnsi="Arial" w:cs="Arial"/>
          <w:snapToGrid/>
        </w:rPr>
      </w:pPr>
      <w:r w:rsidRPr="005D6C89">
        <w:rPr>
          <w:rFonts w:ascii="宋体" w:hAnsi="宋体" w:cs="Arial" w:hint="eastAsia"/>
          <w:snapToGrid/>
        </w:rPr>
        <w:t>华为技术有限公司</w:t>
      </w:r>
    </w:p>
    <w:p w:rsidR="005D6C89" w:rsidRPr="005D6C89" w:rsidRDefault="005D6C89" w:rsidP="005D6C89">
      <w:pPr>
        <w:widowControl/>
        <w:autoSpaceDE/>
        <w:autoSpaceDN/>
        <w:adjustRightInd/>
        <w:spacing w:before="100" w:beforeAutospacing="1" w:after="100" w:afterAutospacing="1"/>
        <w:ind w:right="-154" w:firstLine="5280"/>
        <w:jc w:val="right"/>
        <w:rPr>
          <w:rFonts w:ascii="Arial" w:hAnsi="Arial" w:cs="Arial"/>
          <w:snapToGrid/>
        </w:rPr>
      </w:pPr>
      <w:r w:rsidRPr="005D6C89">
        <w:rPr>
          <w:rFonts w:ascii="宋体" w:hAnsi="宋体" w:cs="Arial" w:hint="eastAsia"/>
          <w:snapToGrid/>
        </w:rPr>
        <w:t>二○一三年十二月二十八日</w:t>
      </w:r>
    </w:p>
    <w:p w:rsidR="009C0700" w:rsidRPr="005D6C89" w:rsidRDefault="009C0700"/>
    <w:sectPr w:rsidR="009C0700" w:rsidRPr="005D6C89" w:rsidSect="009C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19" w:rsidRDefault="00C57319">
      <w:r>
        <w:separator/>
      </w:r>
    </w:p>
  </w:endnote>
  <w:endnote w:type="continuationSeparator" w:id="0">
    <w:p w:rsidR="00C57319" w:rsidRDefault="00C5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00" w:rsidRDefault="009C0700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9C0700">
      <w:tc>
        <w:tcPr>
          <w:tcW w:w="1760" w:type="pct"/>
        </w:tcPr>
        <w:p w:rsidR="009C0700" w:rsidRDefault="00B3050E">
          <w:pPr>
            <w:pStyle w:val="aa"/>
            <w:ind w:firstLine="360"/>
          </w:pPr>
          <w:fldSimple w:instr=" TIME \@ &quot;yyyy-M-d&quot; ">
            <w:r w:rsidR="004F4B52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9C0700" w:rsidRDefault="005731C8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9C0700" w:rsidRDefault="005731C8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4F4B52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4F4B52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9C0700" w:rsidRDefault="009C07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00" w:rsidRDefault="009C0700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19" w:rsidRDefault="00C57319">
      <w:r>
        <w:separator/>
      </w:r>
    </w:p>
  </w:footnote>
  <w:footnote w:type="continuationSeparator" w:id="0">
    <w:p w:rsidR="00C57319" w:rsidRDefault="00C5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00" w:rsidRDefault="009C0700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9C0700">
      <w:trPr>
        <w:cantSplit/>
        <w:trHeight w:hRule="exact" w:val="782"/>
      </w:trPr>
      <w:tc>
        <w:tcPr>
          <w:tcW w:w="500" w:type="pct"/>
        </w:tcPr>
        <w:p w:rsidR="009C0700" w:rsidRDefault="005731C8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0700" w:rsidRDefault="009C0700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9C0700" w:rsidRDefault="005731C8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9C0700" w:rsidRDefault="005731C8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9C0700" w:rsidRDefault="009C0700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00" w:rsidRDefault="009C0700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700"/>
    <w:rsid w:val="00064BE4"/>
    <w:rsid w:val="004F4B52"/>
    <w:rsid w:val="005731C8"/>
    <w:rsid w:val="005D6C89"/>
    <w:rsid w:val="008173C8"/>
    <w:rsid w:val="009C0700"/>
    <w:rsid w:val="00B3050E"/>
    <w:rsid w:val="00C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070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9C0700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9C0700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9C0700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9C0700"/>
    <w:pPr>
      <w:keepLines/>
      <w:numPr>
        <w:ilvl w:val="8"/>
        <w:numId w:val="5"/>
      </w:numPr>
      <w:tabs>
        <w:tab w:val="num" w:pos="360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9C0700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9C0700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9C0700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9C0700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9C0700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9C0700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9C0700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9C070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9C0700"/>
  </w:style>
  <w:style w:type="paragraph" w:customStyle="1" w:styleId="ad">
    <w:name w:val="注示头"/>
    <w:basedOn w:val="a1"/>
    <w:rsid w:val="009C0700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9C0700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9C0700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9C0700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9C0700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9C0700"/>
  </w:style>
  <w:style w:type="paragraph" w:styleId="af3">
    <w:name w:val="Balloon Text"/>
    <w:basedOn w:val="a1"/>
    <w:link w:val="Char"/>
    <w:rsid w:val="009C0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9C0700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5D6C89"/>
    <w:rPr>
      <w:color w:val="0000FF"/>
      <w:u w:val="single"/>
    </w:rPr>
  </w:style>
  <w:style w:type="paragraph" w:customStyle="1" w:styleId="af5">
    <w:name w:val="a"/>
    <w:basedOn w:val="a1"/>
    <w:rsid w:val="005D6C8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styleId="af6">
    <w:name w:val="Body Text Indent"/>
    <w:basedOn w:val="a1"/>
    <w:link w:val="Char0"/>
    <w:uiPriority w:val="99"/>
    <w:unhideWhenUsed/>
    <w:rsid w:val="005D6C8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character" w:customStyle="1" w:styleId="Char0">
    <w:name w:val="正文文本缩进 Char"/>
    <w:basedOn w:val="a2"/>
    <w:link w:val="af6"/>
    <w:uiPriority w:val="99"/>
    <w:rsid w:val="005D6C89"/>
    <w:rPr>
      <w:rFonts w:ascii="宋体" w:hAnsi="宋体" w:cs="宋体"/>
      <w:sz w:val="24"/>
      <w:szCs w:val="24"/>
    </w:rPr>
  </w:style>
  <w:style w:type="paragraph" w:customStyle="1" w:styleId="a40">
    <w:name w:val="a4"/>
    <w:basedOn w:val="a1"/>
    <w:rsid w:val="005D6C8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7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5425-953F-4409-AF9A-CF4D75A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126</Words>
  <Characters>721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3</cp:revision>
  <dcterms:created xsi:type="dcterms:W3CDTF">2010-06-21T04:30:00Z</dcterms:created>
  <dcterms:modified xsi:type="dcterms:W3CDTF">2018-03-19T11:56:00Z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(2)FBWmBetq94IhLJ+3bVfAoZs7j/kPeMCrgEWmEcBA3ZO0WEsBOGqWVgn+hBcEk87OgbKzvgA5
s2Ak50OXGLh6d6/qUf12/IZs6AhtkhzaGXn9yN7NsI8GaawixZ5TG7MDr9oiy0sxFWxuOBhz
FoGzuG7o/6I/hLj7aCQcZoNTBoTpC/7LAr+o0CJwQfqrAvwIdPZ3dr98en3twtSVdvF/kF85
mWFxjaT96bgWD8E08h</vt:lpwstr>
  </property>
  <property fmtid="{D5CDD505-2E9C-101B-9397-08002B2CF9AE}" pid="7" name="_2015_ms_pID_7253431">
    <vt:lpwstr>AczoZQ4Nf0OkwIIsBizKWVCI+Vx9cL6isQIrW/p94RbY2O5DdwkAm7
niSRA6503NniQTEolk8eyRmRhrHLEa9Rt8ISt++sBcLjS3gv5vGzLTaTZlHyGiMrnXWhYiL9
tBnnRSpj0Yn1J5Mee5s4Wf33UBqKm+xcX55miW7GCI+cbRJflD+JZvBVFIHkkZi9tkE=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1521442482</vt:lpwstr>
  </property>
</Properties>
</file>